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9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arbeiten, Kanalbauarbeiten, Straßenbauarbeiten - Prozessionsweg, RRB Graelbac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s Amt für Mobilität und Tiefbau der Stadt Münster beabsichtigt den Bau eines Regenrückhaltebeckens am Prozessionsweg in Münster Mauritz-Ost. 
Die Herstellung des Regenrückhaltebeckens dient der wasserrechtlich geforderten Rückhaltung von Regenwasser aus dem vorgelagerten Einleitgebiet in den Graelbaches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